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72" w:rsidRPr="008B0761" w:rsidRDefault="00721472" w:rsidP="00721472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B0761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:rsidR="00721472" w:rsidRPr="008B0761" w:rsidRDefault="00721472" w:rsidP="00721472">
      <w:pPr>
        <w:shd w:val="clear" w:color="auto" w:fill="FFFFFF"/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761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="009D20A4" w:rsidRPr="00F159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тридцять </w:t>
      </w:r>
      <w:r w:rsidR="00F159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п’ятої </w:t>
      </w:r>
      <w:r w:rsidRPr="008B0761">
        <w:rPr>
          <w:rFonts w:ascii="Times New Roman" w:hAnsi="Times New Roman" w:cs="Times New Roman"/>
          <w:sz w:val="28"/>
          <w:szCs w:val="28"/>
          <w:lang w:val="uk-UA"/>
        </w:rPr>
        <w:t xml:space="preserve">сесії сьомого скликання Сергіївської сільської ради від </w:t>
      </w:r>
      <w:r w:rsidR="00F159BE" w:rsidRPr="00F159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19.12.19</w:t>
      </w:r>
      <w:r w:rsidRPr="00EE22E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21472" w:rsidRPr="008B0761" w:rsidRDefault="00721472" w:rsidP="00DD334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D3343" w:rsidRPr="008B0761" w:rsidRDefault="00DD3343" w:rsidP="00DD334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3343" w:rsidRPr="00833A2B" w:rsidRDefault="00DD3343" w:rsidP="00DD3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ПРОГРАМА</w:t>
      </w:r>
    </w:p>
    <w:p w:rsidR="00721472" w:rsidRPr="00833A2B" w:rsidRDefault="00721472" w:rsidP="009D20A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«Ф</w:t>
      </w:r>
      <w:proofErr w:type="spellStart"/>
      <w:r w:rsidR="00DD3343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інансов</w:t>
      </w:r>
      <w:proofErr w:type="spellEnd"/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3307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DD3343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підтримк</w:t>
      </w:r>
      <w:proofErr w:type="spellEnd"/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5B7C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спеціалізованого </w:t>
      </w:r>
      <w:proofErr w:type="spellStart"/>
      <w:r w:rsidR="00DD3343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комунальн</w:t>
      </w: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ого</w:t>
      </w:r>
      <w:proofErr w:type="spellEnd"/>
      <w:r w:rsidR="003307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D40499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підприємств</w:t>
      </w:r>
      <w:proofErr w:type="spellEnd"/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C861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B7C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«Добробут»</w:t>
      </w:r>
    </w:p>
    <w:p w:rsidR="00DD3343" w:rsidRPr="00833A2B" w:rsidRDefault="00D40499" w:rsidP="009D20A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Сергіївської</w:t>
      </w:r>
      <w:proofErr w:type="spellEnd"/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сільської </w:t>
      </w:r>
      <w:r w:rsidR="00DD3343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ради та  </w:t>
      </w:r>
      <w:proofErr w:type="spellStart"/>
      <w:r w:rsidR="00DD3343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здійснення</w:t>
      </w:r>
      <w:proofErr w:type="spellEnd"/>
      <w:r w:rsidR="003307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DD3343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внесків</w:t>
      </w:r>
      <w:proofErr w:type="spellEnd"/>
      <w:r w:rsidR="00DD3343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 </w:t>
      </w:r>
      <w:r w:rsidR="00721472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його</w:t>
      </w:r>
      <w:r w:rsidR="00DD3343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статутного </w:t>
      </w:r>
      <w:proofErr w:type="spellStart"/>
      <w:r w:rsidR="00DD3343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капіталу</w:t>
      </w:r>
      <w:proofErr w:type="spellEnd"/>
      <w:r w:rsidR="00DD3343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20</w:t>
      </w:r>
      <w:r w:rsidR="009D20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20</w:t>
      </w:r>
      <w:r w:rsidR="00DD3343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</w:t>
      </w:r>
      <w:proofErr w:type="spellStart"/>
      <w:r w:rsidR="00721472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ік</w:t>
      </w:r>
      <w:proofErr w:type="spellEnd"/>
      <w:r w:rsidR="00952BC8"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»</w:t>
      </w:r>
    </w:p>
    <w:p w:rsidR="00721472" w:rsidRPr="00833A2B" w:rsidRDefault="00721472" w:rsidP="009D20A4">
      <w:pPr>
        <w:spacing w:before="225" w:after="225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1472" w:rsidRPr="008B0761" w:rsidRDefault="00721472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C6399" w:rsidRPr="008B0761" w:rsidRDefault="003C6399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B6ED8" w:rsidRPr="005B7C9A" w:rsidRDefault="00721472" w:rsidP="00833A2B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0761">
        <w:rPr>
          <w:rFonts w:ascii="Times New Roman" w:hAnsi="Times New Roman" w:cs="Times New Roman"/>
          <w:bCs/>
          <w:sz w:val="28"/>
          <w:szCs w:val="28"/>
        </w:rPr>
        <w:t>с. Сергіївка</w:t>
      </w:r>
      <w:r w:rsidRPr="008B07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="005B7C9A">
        <w:rPr>
          <w:rFonts w:ascii="Times New Roman" w:hAnsi="Times New Roman" w:cs="Times New Roman"/>
          <w:bCs/>
          <w:sz w:val="28"/>
          <w:szCs w:val="28"/>
          <w:lang w:val="uk-UA"/>
        </w:rPr>
        <w:t>2019</w:t>
      </w:r>
    </w:p>
    <w:p w:rsidR="00952BC8" w:rsidRPr="00EB6ED8" w:rsidRDefault="00DD3343" w:rsidP="00570D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   </w:t>
      </w:r>
      <w:r w:rsidR="00952BC8" w:rsidRPr="00952BC8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52BC8" w:rsidRPr="00952BC8">
        <w:rPr>
          <w:rFonts w:ascii="Times New Roman" w:hAnsi="Times New Roman" w:cs="Times New Roman"/>
          <w:bCs/>
          <w:caps/>
          <w:sz w:val="28"/>
          <w:szCs w:val="28"/>
          <w:lang w:val="uk-UA"/>
        </w:rPr>
        <w:t>. Проблеми, на розв’язання яких спрямована Програма,та обґрунтування необхідності їх розв’язання</w:t>
      </w:r>
    </w:p>
    <w:p w:rsidR="00DD3343" w:rsidRPr="00F159BE" w:rsidRDefault="00952BC8" w:rsidP="00F159B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DD3343"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</w:t>
      </w:r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«Фінансова підтримка </w:t>
      </w:r>
      <w:r w:rsidR="00051C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спеціалізованого </w:t>
      </w: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комунального підприємства</w:t>
      </w:r>
      <w:r w:rsidR="00051C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«Добробут»</w:t>
      </w: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Сергіївської сільської  ради та</w:t>
      </w: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</w:t>
      </w: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здійснення внесків до його статутного капіталу на 20</w:t>
      </w:r>
      <w:r w:rsidR="009D20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20</w:t>
      </w:r>
      <w:r w:rsidRPr="00833A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рік»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далі </w:t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Програма) розроблена на виконання ст. 91 Бюджетного кодексу України, відповідно до Закону України «Про місцеве самоврядування в Україні».</w:t>
      </w:r>
    </w:p>
    <w:p w:rsidR="00EB6ED8" w:rsidRDefault="00DD3343" w:rsidP="00570DD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B6ED8" w:rsidRPr="00833A2B" w:rsidRDefault="00DD3343" w:rsidP="00570D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1" w:name="_Toc326789805"/>
      <w:r w:rsidR="00EB6ED8" w:rsidRPr="00EB6ED8">
        <w:rPr>
          <w:rFonts w:ascii="Times New Roman" w:hAnsi="Times New Roman" w:cs="Times New Roman"/>
          <w:bCs/>
          <w:caps/>
          <w:sz w:val="28"/>
          <w:szCs w:val="28"/>
          <w:lang w:val="uk-UA"/>
        </w:rPr>
        <w:t xml:space="preserve">2. </w:t>
      </w:r>
      <w:r w:rsidR="00EB6ED8" w:rsidRPr="00833A2B">
        <w:rPr>
          <w:rFonts w:ascii="Times New Roman" w:hAnsi="Times New Roman" w:cs="Times New Roman"/>
          <w:bCs/>
          <w:caps/>
          <w:sz w:val="28"/>
          <w:szCs w:val="28"/>
          <w:lang w:val="uk-UA"/>
        </w:rPr>
        <w:t>Мета Програми</w:t>
      </w:r>
      <w:bookmarkEnd w:id="1"/>
      <w:r w:rsidR="00EB6ED8" w:rsidRPr="00833A2B">
        <w:rPr>
          <w:rFonts w:ascii="Times New Roman" w:hAnsi="Times New Roman" w:cs="Times New Roman"/>
          <w:sz w:val="21"/>
          <w:szCs w:val="21"/>
        </w:rPr>
        <w:t>    </w:t>
      </w:r>
    </w:p>
    <w:p w:rsidR="00EB6ED8" w:rsidRPr="00657E69" w:rsidRDefault="00EB6ED8" w:rsidP="00570DD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Програми є </w:t>
      </w:r>
      <w:r w:rsidR="00657E69" w:rsidRPr="00657E69">
        <w:rPr>
          <w:rFonts w:ascii="Times New Roman" w:hAnsi="Times New Roman" w:cs="Times New Roman"/>
          <w:sz w:val="28"/>
          <w:szCs w:val="28"/>
          <w:lang w:val="uk-UA"/>
        </w:rPr>
        <w:t>створення необхідних умов для утримання, збереження та  раціонального використання переданих йому у постійне користування земельних ділянок під полезахисними лісовими смугами, які обмежують масив земель сільськогосподарського призначення</w:t>
      </w:r>
    </w:p>
    <w:p w:rsidR="00EB6ED8" w:rsidRDefault="00EB6ED8" w:rsidP="00570DD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B6ED8" w:rsidRDefault="00EB6ED8" w:rsidP="00570DD2">
      <w:pPr>
        <w:pStyle w:val="20"/>
        <w:shd w:val="clear" w:color="auto" w:fill="auto"/>
        <w:spacing w:before="0" w:after="0" w:line="240" w:lineRule="auto"/>
        <w:ind w:left="-567" w:right="-284"/>
        <w:jc w:val="both"/>
        <w:rPr>
          <w:rFonts w:ascii="Times New Roman" w:hAnsi="Times New Roman" w:cs="Times New Roman"/>
          <w:b w:val="0"/>
          <w:caps/>
          <w:sz w:val="28"/>
          <w:szCs w:val="28"/>
          <w:lang w:val="uk-UA"/>
        </w:rPr>
      </w:pPr>
      <w:r w:rsidRPr="00DC5010">
        <w:rPr>
          <w:rFonts w:ascii="Times New Roman" w:hAnsi="Times New Roman" w:cs="Times New Roman"/>
          <w:b w:val="0"/>
          <w:caps/>
          <w:sz w:val="28"/>
          <w:szCs w:val="28"/>
        </w:rPr>
        <w:t>3. Основні завдання Програми</w:t>
      </w:r>
    </w:p>
    <w:p w:rsidR="00EB6ED8" w:rsidRPr="00EF3393" w:rsidRDefault="00EB6ED8" w:rsidP="00570DD2">
      <w:pPr>
        <w:pStyle w:val="20"/>
        <w:shd w:val="clear" w:color="auto" w:fill="auto"/>
        <w:spacing w:before="0" w:after="0" w:line="240" w:lineRule="auto"/>
        <w:ind w:left="-567" w:right="-28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val="uk-UA" w:eastAsia="ru-RU"/>
        </w:rPr>
        <w:tab/>
      </w:r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</w:t>
      </w:r>
      <w:proofErr w:type="spellStart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зміцнення</w:t>
      </w:r>
      <w:proofErr w:type="spellEnd"/>
      <w:r w:rsidR="0033075C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proofErr w:type="spellStart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матеріально-технічної</w:t>
      </w:r>
      <w:proofErr w:type="spellEnd"/>
      <w:r w:rsidR="0033075C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proofErr w:type="spellStart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бази</w:t>
      </w:r>
      <w:proofErr w:type="spellEnd"/>
      <w:r w:rsidR="0033075C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</w:t>
      </w:r>
      <w:proofErr w:type="gramEnd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ідприємств</w:t>
      </w:r>
      <w:proofErr w:type="spellEnd"/>
      <w:r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а</w:t>
      </w:r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;</w:t>
      </w:r>
    </w:p>
    <w:p w:rsidR="00EB6ED8" w:rsidRPr="00EF3393" w:rsidRDefault="00EB6ED8" w:rsidP="00570DD2">
      <w:pPr>
        <w:pStyle w:val="20"/>
        <w:shd w:val="clear" w:color="auto" w:fill="auto"/>
        <w:spacing w:before="0" w:after="0" w:line="240" w:lineRule="auto"/>
        <w:ind w:left="-567" w:right="-28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</w:pPr>
      <w:r w:rsidRPr="00EF3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</w:t>
      </w:r>
      <w:proofErr w:type="spellStart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покращення</w:t>
      </w:r>
      <w:proofErr w:type="spellEnd"/>
      <w:r w:rsidR="0033075C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proofErr w:type="spellStart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якості</w:t>
      </w:r>
      <w:proofErr w:type="spellEnd"/>
      <w:r w:rsidR="0033075C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proofErr w:type="spellStart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послуг</w:t>
      </w:r>
      <w:proofErr w:type="spellEnd"/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;</w:t>
      </w:r>
    </w:p>
    <w:p w:rsidR="00EB6ED8" w:rsidRPr="00EF3393" w:rsidRDefault="00EB6ED8" w:rsidP="00570DD2">
      <w:pPr>
        <w:pStyle w:val="20"/>
        <w:shd w:val="clear" w:color="auto" w:fill="auto"/>
        <w:spacing w:before="0" w:after="0" w:line="240" w:lineRule="auto"/>
        <w:ind w:left="-567" w:right="-28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</w:pPr>
      <w:r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ab/>
      </w:r>
      <w:r w:rsidR="00DD3343" w:rsidRPr="009D20A4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- виконання</w:t>
      </w:r>
      <w:r w:rsidR="0033075C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зобов’язань по виплаті</w:t>
      </w:r>
      <w:r w:rsidR="0033075C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заробітної плати;</w:t>
      </w:r>
    </w:p>
    <w:p w:rsidR="00EB6ED8" w:rsidRPr="00EF3393" w:rsidRDefault="00EB6ED8" w:rsidP="00570DD2">
      <w:pPr>
        <w:pStyle w:val="20"/>
        <w:shd w:val="clear" w:color="auto" w:fill="auto"/>
        <w:spacing w:before="0" w:after="0" w:line="240" w:lineRule="auto"/>
        <w:ind w:left="-567" w:right="-28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</w:pPr>
      <w:r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ab/>
      </w:r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- придбання матеріалів, запасних частин, оплата робіт, послуг для стабільної роботи підприємств</w:t>
      </w:r>
      <w:r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а</w:t>
      </w:r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та </w:t>
      </w:r>
      <w:r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його </w:t>
      </w:r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підготовки до роботи в осінньо-зимовий період, тощо;</w:t>
      </w:r>
    </w:p>
    <w:p w:rsidR="00EB6ED8" w:rsidRPr="00EF3393" w:rsidRDefault="00EB6ED8" w:rsidP="00570DD2">
      <w:pPr>
        <w:pStyle w:val="20"/>
        <w:shd w:val="clear" w:color="auto" w:fill="auto"/>
        <w:spacing w:before="0" w:after="0" w:line="240" w:lineRule="auto"/>
        <w:ind w:left="-567" w:right="-28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</w:pPr>
      <w:r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ab/>
      </w:r>
      <w:r w:rsidR="00DD3343" w:rsidRPr="009D20A4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- подолання</w:t>
      </w:r>
      <w:r w:rsidR="0033075C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наслідків</w:t>
      </w:r>
      <w:r w:rsidR="0033075C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стихії, надзвичайних</w:t>
      </w:r>
      <w:r w:rsidR="0033075C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ситуацій та аварій;</w:t>
      </w:r>
    </w:p>
    <w:p w:rsidR="00DD3343" w:rsidRDefault="00EB6ED8" w:rsidP="00570DD2">
      <w:pPr>
        <w:pStyle w:val="20"/>
        <w:shd w:val="clear" w:color="auto" w:fill="auto"/>
        <w:spacing w:before="0" w:after="0" w:line="240" w:lineRule="auto"/>
        <w:ind w:left="-567" w:right="-28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</w:pPr>
      <w:r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ab/>
      </w:r>
      <w:r w:rsidR="00DD3343" w:rsidRPr="00EF3393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- придбання спеціальної техніки, засобів, устаткування та спецодягу.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проведення комплексної переробки </w:t>
      </w:r>
      <w:proofErr w:type="spellStart"/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лісосировини</w:t>
      </w:r>
      <w:proofErr w:type="spellEnd"/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побічної продукції;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надання допоміжних послуг у лісовому господарстві;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охорона лісового і земельного фонду;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надання послуг </w:t>
      </w: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стороннім підприємствам і організаціям та громадянам з питань лісового господарства та переробки </w:t>
      </w:r>
      <w:proofErr w:type="spellStart"/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лісосировини</w:t>
      </w:r>
      <w:proofErr w:type="spellEnd"/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оброблення деревини та виробництво виробів з деревини;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виробництво дерев’яних, будівельних конструкцій та столярних виробів;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виробництво дерев’яної тари;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виробництво інших виробів з деревини, соломки і матеріалів для плетіння;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надання послуг у виконанні робіт по благоустрою з очистки снігу, ремонту вулиць, експлуатації зелених та паркових насаджень, будівництва малих архітектурних форм;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вивезення ТПВ, боротьба з забрудненням та подібні види діяльності;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заготівля, концентрація, переробка та реалізація макулатури, вторинних текстильних матеріалів, склобою, гуми, в тому числі зношених шин;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збирання заготівля, переробка і продаж брухту і відходів, кольорових та чорних металів;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надання послуг комунально-побутового характеру;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взаємодія з органами місцевого самоврядування;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виробництво, переробка, реалізація сільськогосподарської продукції;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встановлення договірних цін на виконання робіт і послуг;</w:t>
      </w:r>
    </w:p>
    <w:p w:rsidR="00525483" w:rsidRPr="00525483" w:rsidRDefault="00525483" w:rsidP="0052548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залучення необхідних спеціалістів за трудовими угодами, по договорах,   контрактах, найм працівників;</w:t>
      </w:r>
    </w:p>
    <w:p w:rsidR="00525483" w:rsidRPr="00525483" w:rsidRDefault="00525483" w:rsidP="0052548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lastRenderedPageBreak/>
        <w:t>- перевезення лісоматеріалів, великогабаритних та великовагових вантажів;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перевезення відходів і брухту без діяльності щодо їх збирання або утилізації;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збирання безпечних відходів;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розбирання або злам будівель і споруд;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зовнішні та внутрішні штукатурні роботи в будівлях та інших будівельних об'єктах, у т.ч. штукатурне ліплення;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фарбування будівель зовні та всередині, фарбування інженерних споруд;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розбирання та знесення будівель;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- </w:t>
      </w:r>
      <w:proofErr w:type="spellStart"/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загальнобудівельні</w:t>
      </w:r>
      <w:proofErr w:type="spellEnd"/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роботи;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оренда будівельних машин, механізмів та устаткування з операторами, включаючи самохідні крани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надання ландшафтних послуг;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пасажирські перевезення автодорожнім транспортом;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послуги з перевезення на далекі відстані рейсовими автобусами;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перевезення шкільними та службовими автобусами;</w:t>
      </w:r>
    </w:p>
    <w:p w:rsidR="00525483" w:rsidRPr="00525483" w:rsidRDefault="00525483" w:rsidP="0052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525483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 інша діяльність, не заборонена чинним законодавством України.</w:t>
      </w:r>
    </w:p>
    <w:p w:rsidR="00525483" w:rsidRPr="00525483" w:rsidRDefault="00525483" w:rsidP="00525483">
      <w:pPr>
        <w:pStyle w:val="20"/>
        <w:shd w:val="clear" w:color="auto" w:fill="auto"/>
        <w:spacing w:before="0" w:after="0" w:line="240" w:lineRule="auto"/>
        <w:ind w:left="-567" w:right="-28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95735A" w:rsidRDefault="00DD3343" w:rsidP="00570DD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</w:pPr>
      <w:r w:rsidRPr="008B0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="00EB6ED8" w:rsidRPr="00EB6ED8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4</w:t>
      </w:r>
      <w:r w:rsidRPr="00EB6ED8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. Обґрунтування шляхів і способів роз’яснення проблеми</w:t>
      </w:r>
    </w:p>
    <w:p w:rsidR="0095735A" w:rsidRPr="00570DD2" w:rsidRDefault="0095735A" w:rsidP="00570DD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Фінансова підтримка </w:t>
      </w:r>
      <w:r w:rsidR="00D52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спеціалізованого </w:t>
      </w:r>
      <w:r w:rsidR="00DD3343" w:rsidRP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D3343" w:rsidRP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570DD2" w:rsidRP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ідприємства</w:t>
      </w:r>
      <w:r w:rsidR="00D52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«Добробут»</w:t>
      </w:r>
      <w:r w:rsidR="00570DD2" w:rsidRP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шляхом</w:t>
      </w:r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внесків до 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="00DD3343" w:rsidRP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статутн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D3343" w:rsidRP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капітал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D3343" w:rsidRP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поповнення обігових коштів та інвестування в необоротні активи за рахунок с</w:t>
      </w:r>
      <w:r w:rsidRPr="00833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ільського</w:t>
      </w:r>
      <w:r w:rsidR="00570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бюджету.</w:t>
      </w:r>
    </w:p>
    <w:p w:rsidR="00DD3343" w:rsidRPr="00570DD2" w:rsidRDefault="0095735A" w:rsidP="00570DD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</w:p>
    <w:p w:rsidR="00103869" w:rsidRPr="00103869" w:rsidRDefault="00103869" w:rsidP="00570DD2">
      <w:pPr>
        <w:keepNext/>
        <w:keepLines/>
        <w:spacing w:after="0" w:line="240" w:lineRule="auto"/>
        <w:ind w:left="-567" w:right="-284"/>
        <w:jc w:val="both"/>
        <w:outlineLvl w:val="0"/>
        <w:rPr>
          <w:rFonts w:ascii="Times New Roman" w:hAnsi="Times New Roman" w:cs="Times New Roman"/>
          <w:bCs/>
          <w:sz w:val="10"/>
          <w:szCs w:val="10"/>
          <w:lang w:val="uk-UA"/>
        </w:rPr>
      </w:pPr>
      <w:r w:rsidRPr="00103869">
        <w:rPr>
          <w:rFonts w:ascii="Times New Roman" w:hAnsi="Times New Roman" w:cs="Times New Roman"/>
          <w:bCs/>
          <w:caps/>
          <w:sz w:val="28"/>
          <w:szCs w:val="28"/>
          <w:lang w:val="uk-UA"/>
        </w:rPr>
        <w:t xml:space="preserve">5. </w:t>
      </w:r>
      <w:bookmarkStart w:id="2" w:name="_Toc326789810"/>
      <w:r w:rsidRPr="00103869">
        <w:rPr>
          <w:rFonts w:ascii="Times New Roman" w:hAnsi="Times New Roman" w:cs="Times New Roman"/>
          <w:bCs/>
          <w:caps/>
          <w:sz w:val="28"/>
          <w:szCs w:val="28"/>
        </w:rPr>
        <w:t>Обсяги та джерела фінансування програми</w:t>
      </w:r>
      <w:bookmarkEnd w:id="2"/>
      <w:r w:rsidRPr="00103869">
        <w:rPr>
          <w:rFonts w:ascii="Times New Roman" w:hAnsi="Times New Roman" w:cs="Times New Roman"/>
          <w:caps/>
          <w:sz w:val="28"/>
          <w:szCs w:val="28"/>
        </w:rPr>
        <w:t> </w:t>
      </w:r>
    </w:p>
    <w:p w:rsidR="00103869" w:rsidRDefault="00103869" w:rsidP="00570DD2">
      <w:pPr>
        <w:keepNext/>
        <w:keepLines/>
        <w:spacing w:after="0" w:line="240" w:lineRule="auto"/>
        <w:ind w:left="-567" w:right="-284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3869">
        <w:rPr>
          <w:rFonts w:ascii="Times New Roman" w:hAnsi="Times New Roman" w:cs="Times New Roman"/>
          <w:bCs/>
          <w:sz w:val="28"/>
          <w:szCs w:val="28"/>
          <w:lang w:val="uk-UA"/>
        </w:rPr>
        <w:t>Фінансування Програми здійснюється відповідно до законодавства України за рахунок коштів бюджету ОТГ та інших джерел, не за</w:t>
      </w:r>
      <w:r w:rsidR="00570DD2">
        <w:rPr>
          <w:rFonts w:ascii="Times New Roman" w:hAnsi="Times New Roman" w:cs="Times New Roman"/>
          <w:bCs/>
          <w:sz w:val="28"/>
          <w:szCs w:val="28"/>
          <w:lang w:val="uk-UA"/>
        </w:rPr>
        <w:t>боронених чинним законодавством.</w:t>
      </w:r>
    </w:p>
    <w:p w:rsidR="0095735A" w:rsidRPr="00103869" w:rsidRDefault="0095735A" w:rsidP="00570DD2">
      <w:pPr>
        <w:keepNext/>
        <w:keepLines/>
        <w:spacing w:after="0" w:line="240" w:lineRule="auto"/>
        <w:ind w:left="-567" w:right="-284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5735A" w:rsidRDefault="00103869" w:rsidP="00570DD2">
      <w:pPr>
        <w:keepNext/>
        <w:keepLines/>
        <w:spacing w:after="0" w:line="240" w:lineRule="auto"/>
        <w:ind w:left="-567" w:right="-284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  <w:r w:rsidRPr="00103869">
        <w:rPr>
          <w:rFonts w:ascii="Times New Roman" w:hAnsi="Times New Roman" w:cs="Times New Roman"/>
          <w:bCs/>
          <w:caps/>
          <w:sz w:val="28"/>
          <w:szCs w:val="28"/>
          <w:lang w:val="uk-UA"/>
        </w:rPr>
        <w:t xml:space="preserve">6. </w:t>
      </w:r>
      <w:r w:rsidRPr="00103869">
        <w:rPr>
          <w:rFonts w:ascii="Times New Roman" w:hAnsi="Times New Roman" w:cs="Times New Roman"/>
          <w:bCs/>
          <w:caps/>
          <w:sz w:val="28"/>
          <w:szCs w:val="28"/>
        </w:rPr>
        <w:t>Очікувані результати виконання Програми</w:t>
      </w:r>
    </w:p>
    <w:p w:rsidR="0095735A" w:rsidRDefault="00DD3343" w:rsidP="00570DD2">
      <w:pPr>
        <w:keepNext/>
        <w:keepLines/>
        <w:spacing w:after="0" w:line="240" w:lineRule="auto"/>
        <w:ind w:left="-567"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</w:t>
      </w:r>
      <w:proofErr w:type="spellStart"/>
      <w:r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</w:t>
      </w:r>
      <w:proofErr w:type="spellEnd"/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735A" w:rsidRDefault="00202483" w:rsidP="00570DD2">
      <w:pPr>
        <w:keepNext/>
        <w:keepLines/>
        <w:spacing w:after="0" w:line="240" w:lineRule="auto"/>
        <w:ind w:left="-567"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безперебійну</w:t>
      </w:r>
      <w:proofErr w:type="spell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r w:rsidR="008D3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спеціалізованого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</w:t>
      </w:r>
      <w:r w:rsidR="008D3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</w:t>
      </w:r>
      <w:proofErr w:type="spellEnd"/>
      <w:r w:rsidR="008D3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функціональних</w:t>
      </w:r>
      <w:proofErr w:type="spellEnd"/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призначень</w:t>
      </w:r>
      <w:proofErr w:type="spell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735A" w:rsidRDefault="00202483" w:rsidP="00570DD2">
      <w:pPr>
        <w:keepNext/>
        <w:keepLines/>
        <w:spacing w:after="0" w:line="240" w:lineRule="auto"/>
        <w:ind w:left="-567"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автотранспортне</w:t>
      </w:r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</w:t>
      </w:r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3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спеціалізованого </w:t>
      </w:r>
      <w:r w:rsidR="008D39CB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</w:t>
      </w:r>
      <w:r w:rsidR="008D3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39CB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</w:t>
      </w:r>
      <w:r w:rsidR="008D3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можливість</w:t>
      </w:r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</w:t>
      </w:r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спецтехніки, необхідного</w:t>
      </w:r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устаткування, обладнання, спецодягу;</w:t>
      </w:r>
    </w:p>
    <w:p w:rsidR="0095735A" w:rsidRDefault="00202483" w:rsidP="00570DD2">
      <w:pPr>
        <w:keepNext/>
        <w:keepLines/>
        <w:spacing w:after="0" w:line="240" w:lineRule="auto"/>
        <w:ind w:left="-567"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уникнення</w:t>
      </w:r>
      <w:proofErr w:type="spellEnd"/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частині</w:t>
      </w:r>
      <w:proofErr w:type="spellEnd"/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своєчасної</w:t>
      </w:r>
      <w:proofErr w:type="spellEnd"/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виплати</w:t>
      </w:r>
      <w:proofErr w:type="spellEnd"/>
      <w:r w:rsidR="0033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заробітної</w:t>
      </w:r>
      <w:proofErr w:type="spellEnd"/>
      <w:r w:rsidR="00DD3343" w:rsidRPr="009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плати;</w:t>
      </w:r>
    </w:p>
    <w:p w:rsidR="00DD3343" w:rsidRPr="00D52E56" w:rsidRDefault="00202483" w:rsidP="00570DD2">
      <w:pPr>
        <w:keepNext/>
        <w:keepLines/>
        <w:spacing w:after="0" w:line="240" w:lineRule="auto"/>
        <w:ind w:left="-567"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B0761" w:rsidRDefault="008B0761" w:rsidP="00570D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p w:rsidR="0034174A" w:rsidRDefault="00103869" w:rsidP="00570D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03869">
        <w:rPr>
          <w:rFonts w:ascii="Times New Roman" w:hAnsi="Times New Roman" w:cs="Times New Roman"/>
          <w:caps/>
          <w:sz w:val="28"/>
          <w:szCs w:val="28"/>
          <w:lang w:val="uk-UA"/>
        </w:rPr>
        <w:t>7. Контроль за виконанням Програми</w:t>
      </w:r>
    </w:p>
    <w:p w:rsidR="00103869" w:rsidRDefault="0034174A" w:rsidP="00570D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3869" w:rsidRPr="0010386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Програми здійснюєпостійна комісія з питань </w:t>
      </w:r>
      <w:r w:rsidRPr="003417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планування, фінансів, бюджету та соціально – економічного розвитку</w:t>
      </w:r>
      <w:r w:rsidR="00103869" w:rsidRPr="001038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59BE" w:rsidRPr="00103869" w:rsidRDefault="00F159BE" w:rsidP="00570D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B0761" w:rsidRDefault="008B0761" w:rsidP="00570D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p w:rsidR="008B0761" w:rsidRPr="00570DD2" w:rsidRDefault="008B0761" w:rsidP="008B0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proofErr w:type="gramStart"/>
      <w:r w:rsidRPr="00570DD2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П</w:t>
      </w:r>
      <w:proofErr w:type="gramEnd"/>
      <w:r w:rsidRPr="00570DD2">
        <w:rPr>
          <w:rFonts w:ascii="Times New Roman" w:hAnsi="Times New Roman" w:cs="Times New Roman"/>
          <w:bCs/>
          <w:caps/>
          <w:sz w:val="28"/>
          <w:szCs w:val="28"/>
        </w:rPr>
        <w:t xml:space="preserve"> А С П О Р Т </w:t>
      </w:r>
    </w:p>
    <w:p w:rsidR="008B0761" w:rsidRPr="00570DD2" w:rsidRDefault="008B0761" w:rsidP="008B07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</w:pPr>
      <w:r w:rsidRPr="00570DD2">
        <w:rPr>
          <w:rFonts w:ascii="Times New Roman" w:hAnsi="Times New Roman" w:cs="Times New Roman"/>
          <w:bCs/>
          <w:caps/>
          <w:sz w:val="28"/>
          <w:szCs w:val="28"/>
        </w:rPr>
        <w:t>Програми</w:t>
      </w:r>
      <w:r w:rsidR="0033075C">
        <w:rPr>
          <w:rFonts w:ascii="Times New Roman" w:hAnsi="Times New Roman" w:cs="Times New Roman"/>
          <w:bCs/>
          <w:caps/>
          <w:sz w:val="28"/>
          <w:szCs w:val="28"/>
          <w:lang w:val="uk-UA"/>
        </w:rPr>
        <w:t xml:space="preserve"> 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«Ф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інансов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а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підтримк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а</w:t>
      </w:r>
      <w:r w:rsidR="00D52E56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 xml:space="preserve">спеціалізованого 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комунальн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ого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ідприємств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а</w:t>
      </w:r>
      <w:r w:rsidR="0033075C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D39CB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«Добробут»</w:t>
      </w:r>
    </w:p>
    <w:p w:rsidR="008B0761" w:rsidRPr="00570DD2" w:rsidRDefault="008B0761" w:rsidP="008B076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 xml:space="preserve">Сергіївської сільської 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ради та  здійснення</w:t>
      </w:r>
      <w:r w:rsidR="0033075C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внесків до 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його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статутного капіталу на 20</w:t>
      </w:r>
      <w:r w:rsidR="009D20A4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20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ік</w:t>
      </w:r>
    </w:p>
    <w:p w:rsidR="008B0761" w:rsidRPr="008B0761" w:rsidRDefault="008B0761" w:rsidP="008B0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100"/>
        <w:gridCol w:w="5397"/>
      </w:tblGrid>
      <w:tr w:rsidR="008B0761" w:rsidRPr="008B0761" w:rsidTr="00570DD2">
        <w:tc>
          <w:tcPr>
            <w:tcW w:w="568" w:type="dxa"/>
            <w:vAlign w:val="center"/>
          </w:tcPr>
          <w:p w:rsidR="008B0761" w:rsidRPr="008B0761" w:rsidRDefault="008B0761" w:rsidP="008B076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Ініціатори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розроблення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97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Сергіївськ</w:t>
            </w: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сільськ</w:t>
            </w: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</w:t>
            </w: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и.</w:t>
            </w:r>
          </w:p>
        </w:tc>
      </w:tr>
      <w:tr w:rsidR="008B0761" w:rsidRPr="008B0761" w:rsidTr="00570DD2">
        <w:tc>
          <w:tcPr>
            <w:tcW w:w="568" w:type="dxa"/>
            <w:vAlign w:val="center"/>
          </w:tcPr>
          <w:p w:rsidR="008B0761" w:rsidRPr="008B0761" w:rsidRDefault="008B0761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ідстава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прийняття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97" w:type="dxa"/>
            <w:vAlign w:val="center"/>
          </w:tcPr>
          <w:p w:rsidR="008B0761" w:rsidRPr="00EF3393" w:rsidRDefault="008B0761" w:rsidP="00DB5ABB">
            <w:pPr>
              <w:spacing w:line="240" w:lineRule="auto"/>
              <w:ind w:right="-2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>татт</w:t>
            </w:r>
            <w:proofErr w:type="spellEnd"/>
            <w:r w:rsidRPr="008B0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8B0761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Pr="008B0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F3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  <w:r w:rsidR="0033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0761">
              <w:rPr>
                <w:rFonts w:ascii="Times New Roman" w:hAnsi="Times New Roman" w:cs="Times New Roman"/>
                <w:sz w:val="28"/>
                <w:szCs w:val="28"/>
              </w:rPr>
              <w:t xml:space="preserve">Закону </w:t>
            </w:r>
            <w:proofErr w:type="spellStart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>місцеве</w:t>
            </w:r>
            <w:proofErr w:type="spellEnd"/>
            <w:r w:rsidR="0033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8B0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0761" w:rsidRPr="008B0761" w:rsidTr="00570DD2">
        <w:tc>
          <w:tcPr>
            <w:tcW w:w="568" w:type="dxa"/>
            <w:vAlign w:val="center"/>
          </w:tcPr>
          <w:p w:rsidR="008B0761" w:rsidRPr="008B0761" w:rsidRDefault="008B0761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Розробники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97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Сектор економічного розвитку та інвестицій виконавчого комітету Сергіївської сільської ради</w:t>
            </w:r>
          </w:p>
        </w:tc>
      </w:tr>
      <w:tr w:rsidR="008B0761" w:rsidRPr="008B0761" w:rsidTr="00570DD2">
        <w:tc>
          <w:tcPr>
            <w:tcW w:w="568" w:type="dxa"/>
            <w:vAlign w:val="center"/>
          </w:tcPr>
          <w:p w:rsidR="008B0761" w:rsidRPr="008B0761" w:rsidRDefault="008B0761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Співрозробники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97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B0761" w:rsidRPr="00B96266" w:rsidTr="00570DD2">
        <w:tc>
          <w:tcPr>
            <w:tcW w:w="568" w:type="dxa"/>
            <w:vAlign w:val="center"/>
          </w:tcPr>
          <w:p w:rsidR="008B0761" w:rsidRPr="008B0761" w:rsidRDefault="008B0761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Відповідальний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виконавець</w:t>
            </w:r>
            <w:proofErr w:type="spellEnd"/>
          </w:p>
        </w:tc>
        <w:tc>
          <w:tcPr>
            <w:tcW w:w="5397" w:type="dxa"/>
            <w:vAlign w:val="center"/>
          </w:tcPr>
          <w:p w:rsidR="008B0761" w:rsidRDefault="008B0761" w:rsidP="00DB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07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виконавчого комітету </w:t>
            </w:r>
            <w:r w:rsidRPr="008B07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Сергіївської сільської ради,</w:t>
            </w:r>
          </w:p>
          <w:p w:rsidR="008B0761" w:rsidRPr="008B0761" w:rsidRDefault="008B0761" w:rsidP="00DB5AB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07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бухгалтерського обліку та звітності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виконавчого комітету</w:t>
            </w:r>
            <w:r w:rsidRPr="008B07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Сергіївської сільської ради </w:t>
            </w:r>
          </w:p>
        </w:tc>
      </w:tr>
      <w:tr w:rsidR="008B0761" w:rsidRPr="008B0761" w:rsidTr="00570DD2">
        <w:trPr>
          <w:trHeight w:val="1332"/>
        </w:trPr>
        <w:tc>
          <w:tcPr>
            <w:tcW w:w="568" w:type="dxa"/>
            <w:vAlign w:val="center"/>
          </w:tcPr>
          <w:p w:rsidR="008B0761" w:rsidRPr="008B0761" w:rsidRDefault="008B0761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Учасники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97" w:type="dxa"/>
            <w:vAlign w:val="center"/>
          </w:tcPr>
          <w:p w:rsidR="008B0761" w:rsidRPr="00570DD2" w:rsidRDefault="008B0761" w:rsidP="00D52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Виконавчий комітет</w:t>
            </w:r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Сергіївськ</w:t>
            </w: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сільськ</w:t>
            </w: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</w:t>
            </w: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и, </w:t>
            </w:r>
            <w:r w:rsidR="00D52E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Pr="008B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 «</w:t>
            </w:r>
            <w:r w:rsidR="00D52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Добробут</w:t>
            </w:r>
            <w:r w:rsidR="0057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E22E0" w:rsidTr="00570DD2">
        <w:trPr>
          <w:trHeight w:val="1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E0" w:rsidRPr="00EE22E0" w:rsidRDefault="00EE22E0" w:rsidP="00EE22E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E22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E0" w:rsidRPr="00EE22E0" w:rsidRDefault="00EE22E0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E22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Номер і назва операційної цілі Стратегічного плану  розвитку Сергіївської ОТГ на 2017-2020 рр.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BB" w:rsidRDefault="00DB5ABB" w:rsidP="00DB5A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1.3. Підвищення ефективності використання земельних, лісових, водних ресурсів громади</w:t>
            </w:r>
          </w:p>
          <w:p w:rsidR="00DB5ABB" w:rsidRPr="00EE22E0" w:rsidRDefault="00EE22E0" w:rsidP="00D52E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E22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2.1. Створення безпечних і комфортних умов для життя</w:t>
            </w:r>
          </w:p>
        </w:tc>
      </w:tr>
      <w:tr w:rsidR="008B0761" w:rsidRPr="008B0761" w:rsidTr="00570DD2">
        <w:tc>
          <w:tcPr>
            <w:tcW w:w="568" w:type="dxa"/>
            <w:vAlign w:val="center"/>
          </w:tcPr>
          <w:p w:rsidR="008B0761" w:rsidRPr="00EE22E0" w:rsidRDefault="00EE22E0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Термін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реалізації</w:t>
            </w:r>
            <w:proofErr w:type="spellEnd"/>
          </w:p>
        </w:tc>
        <w:tc>
          <w:tcPr>
            <w:tcW w:w="5397" w:type="dxa"/>
            <w:vAlign w:val="center"/>
          </w:tcPr>
          <w:p w:rsidR="008B0761" w:rsidRPr="008B0761" w:rsidRDefault="008B0761" w:rsidP="009D20A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9D20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ік</w:t>
            </w:r>
          </w:p>
        </w:tc>
      </w:tr>
      <w:tr w:rsidR="008B0761" w:rsidRPr="008B0761" w:rsidTr="00570DD2">
        <w:tc>
          <w:tcPr>
            <w:tcW w:w="568" w:type="dxa"/>
            <w:vAlign w:val="center"/>
          </w:tcPr>
          <w:p w:rsidR="008B0761" w:rsidRPr="00EE22E0" w:rsidRDefault="00EE22E0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Перелік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місцевих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бюджеті</w:t>
            </w:r>
            <w:proofErr w:type="gram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як</w:t>
            </w:r>
            <w:proofErr w:type="gram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беруть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участь у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виконанні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(для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комплексних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97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B0761" w:rsidRPr="008B0761" w:rsidTr="00570DD2">
        <w:tc>
          <w:tcPr>
            <w:tcW w:w="568" w:type="dxa"/>
            <w:vAlign w:val="center"/>
          </w:tcPr>
          <w:p w:rsidR="008B0761" w:rsidRPr="00EE22E0" w:rsidRDefault="00EE22E0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Загальний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обсяг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фінансових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ресурсів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необхідних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proofErr w:type="gram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реалізації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всього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 тому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числі</w:t>
            </w:r>
            <w:proofErr w:type="spell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5397" w:type="dxa"/>
            <w:vAlign w:val="center"/>
          </w:tcPr>
          <w:p w:rsidR="008B0761" w:rsidRPr="008B0761" w:rsidRDefault="00F159BE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463,031 </w:t>
            </w:r>
            <w:r w:rsidR="008B0761"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тис. грн.</w:t>
            </w:r>
          </w:p>
        </w:tc>
      </w:tr>
      <w:tr w:rsidR="008B0761" w:rsidRPr="008B0761" w:rsidTr="00570DD2">
        <w:trPr>
          <w:trHeight w:val="538"/>
        </w:trPr>
        <w:tc>
          <w:tcPr>
            <w:tcW w:w="568" w:type="dxa"/>
            <w:vAlign w:val="center"/>
          </w:tcPr>
          <w:p w:rsidR="008B0761" w:rsidRPr="00EE22E0" w:rsidRDefault="00EE22E0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Кошті</w:t>
            </w:r>
            <w:proofErr w:type="gram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бюджету ОТГ</w:t>
            </w:r>
          </w:p>
        </w:tc>
        <w:tc>
          <w:tcPr>
            <w:tcW w:w="5397" w:type="dxa"/>
            <w:vAlign w:val="center"/>
          </w:tcPr>
          <w:p w:rsidR="008B0761" w:rsidRPr="00FA1AA0" w:rsidRDefault="00F159BE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436,031 </w:t>
            </w:r>
            <w:r w:rsidR="008B0761" w:rsidRPr="00FA1AA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тис. грн.</w:t>
            </w:r>
          </w:p>
        </w:tc>
      </w:tr>
      <w:tr w:rsidR="008B0761" w:rsidRPr="008B0761" w:rsidTr="00570DD2">
        <w:trPr>
          <w:trHeight w:val="884"/>
        </w:trPr>
        <w:tc>
          <w:tcPr>
            <w:tcW w:w="568" w:type="dxa"/>
            <w:vAlign w:val="center"/>
          </w:tcPr>
          <w:p w:rsidR="008B0761" w:rsidRPr="00EE22E0" w:rsidRDefault="00EE22E0" w:rsidP="00C80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100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Коштів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інших</w:t>
            </w:r>
            <w:proofErr w:type="spellEnd"/>
            <w:r w:rsidR="0033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761">
              <w:rPr>
                <w:rFonts w:ascii="Times New Roman" w:hAnsi="Times New Roman" w:cs="Times New Roman"/>
                <w:bCs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397" w:type="dxa"/>
            <w:vAlign w:val="center"/>
          </w:tcPr>
          <w:p w:rsidR="008B0761" w:rsidRPr="008B0761" w:rsidRDefault="008B0761" w:rsidP="00DB5AB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07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</w:tr>
    </w:tbl>
    <w:p w:rsidR="008B0761" w:rsidRDefault="008B0761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399" w:rsidRDefault="003C6399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70DD2" w:rsidRDefault="00570DD2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70DD2" w:rsidRDefault="00570DD2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159BE" w:rsidRDefault="00F159BE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159BE" w:rsidRDefault="00F159BE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70DD2" w:rsidRDefault="00570DD2" w:rsidP="008B0761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A40BE" w:rsidRPr="00570DD2" w:rsidRDefault="00DA40BE" w:rsidP="00DA40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70DD2">
        <w:rPr>
          <w:rFonts w:ascii="Times New Roman" w:hAnsi="Times New Roman" w:cs="Times New Roman"/>
          <w:caps/>
          <w:sz w:val="28"/>
          <w:szCs w:val="28"/>
          <w:lang w:eastAsia="uk-UA"/>
        </w:rPr>
        <w:lastRenderedPageBreak/>
        <w:t xml:space="preserve">Заходи Програми 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«Фінансов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а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підтримк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а</w:t>
      </w:r>
      <w:r w:rsidR="0033075C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 xml:space="preserve"> спеціалізованого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комунальн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ого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ідприємств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а</w:t>
      </w:r>
      <w:r w:rsidR="0033075C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 xml:space="preserve"> «добробут» 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Сергіївської сільської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ради  та здійснення </w:t>
      </w:r>
      <w:r w:rsidR="00906A17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внесків до 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його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статутного капіталу на 20</w:t>
      </w:r>
      <w:r w:rsidR="009D20A4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20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 w:eastAsia="ru-RU"/>
        </w:rPr>
        <w:t>ік</w:t>
      </w:r>
      <w:r w:rsidRPr="00570DD2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"/>
        <w:gridCol w:w="3860"/>
        <w:gridCol w:w="2392"/>
        <w:gridCol w:w="2388"/>
      </w:tblGrid>
      <w:tr w:rsidR="00DA40BE" w:rsidRPr="00DA40BE" w:rsidTr="00C807D5">
        <w:tc>
          <w:tcPr>
            <w:tcW w:w="931" w:type="dxa"/>
          </w:tcPr>
          <w:p w:rsidR="00DA40BE" w:rsidRPr="00DA40BE" w:rsidRDefault="00DA40BE" w:rsidP="00910BE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№ </w:t>
            </w:r>
            <w:proofErr w:type="gramStart"/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/п</w:t>
            </w:r>
          </w:p>
        </w:tc>
        <w:tc>
          <w:tcPr>
            <w:tcW w:w="3860" w:type="dxa"/>
          </w:tcPr>
          <w:p w:rsidR="00DA40BE" w:rsidRDefault="00DA40BE" w:rsidP="00910BE2">
            <w:pPr>
              <w:tabs>
                <w:tab w:val="center" w:pos="4677"/>
                <w:tab w:val="right" w:pos="9355"/>
              </w:tabs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Змі</w:t>
            </w:r>
            <w:proofErr w:type="gramStart"/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</w:t>
            </w:r>
            <w:proofErr w:type="spellEnd"/>
            <w:proofErr w:type="gramEnd"/>
          </w:p>
          <w:p w:rsidR="00DA40BE" w:rsidRPr="00DA40BE" w:rsidRDefault="00DA40BE" w:rsidP="00910BE2">
            <w:pPr>
              <w:tabs>
                <w:tab w:val="center" w:pos="4677"/>
                <w:tab w:val="right" w:pos="9355"/>
              </w:tabs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заході</w:t>
            </w:r>
            <w:proofErr w:type="gramStart"/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2392" w:type="dxa"/>
          </w:tcPr>
          <w:p w:rsidR="00DA40BE" w:rsidRPr="00DA40BE" w:rsidRDefault="00DA40BE" w:rsidP="00910BE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Термін</w:t>
            </w:r>
            <w:proofErr w:type="spellEnd"/>
            <w:r w:rsidR="00906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виконання</w:t>
            </w:r>
            <w:proofErr w:type="spellEnd"/>
          </w:p>
        </w:tc>
        <w:tc>
          <w:tcPr>
            <w:tcW w:w="2388" w:type="dxa"/>
          </w:tcPr>
          <w:p w:rsidR="00DA40BE" w:rsidRPr="00DA40BE" w:rsidRDefault="00DA40BE" w:rsidP="00DA40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0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Сума витрат,</w:t>
            </w:r>
          </w:p>
          <w:p w:rsidR="00DA40BE" w:rsidRPr="00DA40BE" w:rsidRDefault="00DA40BE" w:rsidP="00DA40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0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тис. грн.</w:t>
            </w:r>
          </w:p>
        </w:tc>
      </w:tr>
      <w:tr w:rsidR="00DA40BE" w:rsidRPr="00DA40BE" w:rsidTr="00C807D5">
        <w:tc>
          <w:tcPr>
            <w:tcW w:w="931" w:type="dxa"/>
          </w:tcPr>
          <w:p w:rsidR="00DA40BE" w:rsidRPr="00DA40BE" w:rsidRDefault="00DA40BE" w:rsidP="00910B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A40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60" w:type="dxa"/>
          </w:tcPr>
          <w:p w:rsidR="00DA40BE" w:rsidRPr="00833A2B" w:rsidRDefault="00DA40BE" w:rsidP="00D52E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Фінансов</w:t>
            </w:r>
            <w:proofErr w:type="spellEnd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а</w:t>
            </w:r>
            <w:r w:rsidR="00906A1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proofErr w:type="gramStart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ідтримк</w:t>
            </w:r>
            <w:proofErr w:type="spellEnd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а</w:t>
            </w:r>
            <w:r w:rsidR="00906A1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D52E5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</w:t>
            </w:r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КП «</w:t>
            </w:r>
            <w:r w:rsidR="00D52E5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Добробут</w:t>
            </w:r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»</w:t>
            </w:r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  та </w:t>
            </w:r>
            <w:proofErr w:type="spellStart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здійснення</w:t>
            </w:r>
            <w:proofErr w:type="spellEnd"/>
            <w:r w:rsidR="00906A1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внесків</w:t>
            </w:r>
            <w:proofErr w:type="spellEnd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до </w:t>
            </w:r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його</w:t>
            </w:r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статутного </w:t>
            </w:r>
            <w:proofErr w:type="spellStart"/>
            <w:r w:rsidRPr="00833A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капіталу</w:t>
            </w:r>
            <w:proofErr w:type="spellEnd"/>
          </w:p>
        </w:tc>
        <w:tc>
          <w:tcPr>
            <w:tcW w:w="2392" w:type="dxa"/>
          </w:tcPr>
          <w:p w:rsidR="00DA40BE" w:rsidRPr="00DA40BE" w:rsidRDefault="00DA40BE" w:rsidP="009D20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0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9D20A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Pr="00DA40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2388" w:type="dxa"/>
          </w:tcPr>
          <w:p w:rsidR="00DA40BE" w:rsidRPr="00DA40BE" w:rsidRDefault="00F159BE" w:rsidP="00C807D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463,031</w:t>
            </w:r>
          </w:p>
        </w:tc>
      </w:tr>
      <w:tr w:rsidR="00DA40BE" w:rsidRPr="00DA40BE" w:rsidTr="00C807D5">
        <w:tc>
          <w:tcPr>
            <w:tcW w:w="4791" w:type="dxa"/>
            <w:gridSpan w:val="2"/>
          </w:tcPr>
          <w:p w:rsidR="00DA40BE" w:rsidRPr="00DA40BE" w:rsidRDefault="00DA40BE" w:rsidP="00910B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4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0" w:type="dxa"/>
            <w:gridSpan w:val="2"/>
          </w:tcPr>
          <w:p w:rsidR="00DA40BE" w:rsidRPr="00DA40BE" w:rsidRDefault="00F159BE" w:rsidP="00910BE2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463,031</w:t>
            </w:r>
          </w:p>
        </w:tc>
      </w:tr>
    </w:tbl>
    <w:p w:rsidR="00DA40BE" w:rsidRPr="00DA40BE" w:rsidRDefault="00DA40BE" w:rsidP="00DA40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0BE" w:rsidRPr="00DA40BE" w:rsidRDefault="00DA40BE" w:rsidP="00DA40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0BE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="00906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40B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906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40BE">
        <w:rPr>
          <w:rFonts w:ascii="Times New Roman" w:hAnsi="Times New Roman" w:cs="Times New Roman"/>
          <w:sz w:val="28"/>
          <w:szCs w:val="28"/>
        </w:rPr>
        <w:t>ради                                                              Н.В. Ілляшенко</w:t>
      </w:r>
    </w:p>
    <w:p w:rsidR="008B0761" w:rsidRPr="008B0761" w:rsidRDefault="008B0761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D3343" w:rsidRDefault="00DD3343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40BE" w:rsidRDefault="00DA40BE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A40BE" w:rsidRDefault="00DA40BE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A40BE" w:rsidRDefault="00DA40BE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A40BE" w:rsidRDefault="00DA40BE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A40BE" w:rsidRDefault="00DA40BE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A40BE" w:rsidRPr="00DA40BE" w:rsidRDefault="00DA40BE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FA1AA0" w:rsidRDefault="00FA1AA0" w:rsidP="00DD33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EF3393" w:rsidRDefault="00EF3393" w:rsidP="00DD33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EF3393" w:rsidRDefault="00EF3393" w:rsidP="00DD33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EF3393" w:rsidRDefault="00EF3393" w:rsidP="00DD33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EF3393" w:rsidRDefault="00EF3393" w:rsidP="00DD33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833A2B" w:rsidRDefault="00833A2B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910BE2" w:rsidRDefault="00910BE2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3343" w:rsidRPr="00910BE2" w:rsidRDefault="00DD3343" w:rsidP="00910DD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Додаток</w:t>
      </w:r>
      <w:proofErr w:type="spellEnd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1</w:t>
      </w:r>
    </w:p>
    <w:p w:rsidR="00DD3343" w:rsidRPr="00910BE2" w:rsidRDefault="00DD3343" w:rsidP="00910DD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  </w:t>
      </w: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Фінансов</w:t>
      </w:r>
      <w:proofErr w:type="spellEnd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ідтримк</w:t>
      </w:r>
      <w:proofErr w:type="spellEnd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52E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спеціалізованого </w:t>
      </w: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комунальн</w:t>
      </w:r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ого</w:t>
      </w:r>
      <w:proofErr w:type="spellEnd"/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підприємств</w:t>
      </w:r>
      <w:proofErr w:type="spellEnd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D52E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«Добробут» </w:t>
      </w:r>
      <w:proofErr w:type="spellStart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Сергіївської</w:t>
      </w:r>
      <w:proofErr w:type="spellEnd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сільської ради</w:t>
      </w:r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та </w:t>
      </w: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здійснення</w:t>
      </w:r>
      <w:proofErr w:type="spellEnd"/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внесків</w:t>
      </w:r>
      <w:proofErr w:type="spellEnd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 </w:t>
      </w:r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його</w:t>
      </w:r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статутного</w:t>
      </w:r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капіталу</w:t>
      </w:r>
      <w:proofErr w:type="spellEnd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20</w:t>
      </w:r>
      <w:r w:rsidR="009D20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20</w:t>
      </w:r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роки»</w:t>
      </w:r>
    </w:p>
    <w:p w:rsidR="00DD3343" w:rsidRPr="00910BE2" w:rsidRDefault="00DD3343" w:rsidP="00910BE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</w:t>
      </w:r>
    </w:p>
    <w:p w:rsidR="00DD3343" w:rsidRPr="00910BE2" w:rsidRDefault="00DD3343" w:rsidP="00DD3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Порядок</w:t>
      </w:r>
    </w:p>
    <w:p w:rsidR="00DD3343" w:rsidRDefault="009D20A4" w:rsidP="00DD33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дійснення</w:t>
      </w:r>
      <w:proofErr w:type="spellEnd"/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внесків</w:t>
      </w:r>
      <w:proofErr w:type="spellEnd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 </w:t>
      </w:r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сільського</w:t>
      </w:r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бюджету  до статутного 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капіталу</w:t>
      </w:r>
      <w:proofErr w:type="spellEnd"/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52E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спеціалізованого 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комунальн</w:t>
      </w:r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ого</w:t>
      </w:r>
      <w:proofErr w:type="spellEnd"/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ідприємств</w:t>
      </w:r>
      <w:proofErr w:type="spellEnd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3707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«Добробут»</w:t>
      </w:r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ді</w:t>
      </w:r>
      <w:proofErr w:type="spellEnd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є</w:t>
      </w:r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 на 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Сергіївської</w:t>
      </w:r>
      <w:proofErr w:type="spellEnd"/>
      <w:r w:rsidR="00FA1AA0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сільської ради</w:t>
      </w:r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  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DD334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використання</w:t>
      </w:r>
      <w:proofErr w:type="spellEnd"/>
    </w:p>
    <w:p w:rsidR="009D20A4" w:rsidRPr="009D20A4" w:rsidRDefault="009D20A4" w:rsidP="00DD3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3343" w:rsidRPr="00910BE2" w:rsidRDefault="00910DD6" w:rsidP="0091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Цей Порядок визначає механізм здійснення внесків з 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статутного капіталу </w:t>
      </w:r>
      <w:r w:rsidR="00D52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спеціалізованого 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ді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Сергіївської сільської ради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їх надання та використання, у вигляді фінансової підтримки у рамках Програми 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«Ф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інансов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підтримк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2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спеціалізованого 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</w:t>
      </w:r>
      <w:r w:rsidR="00D52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«Добробут» 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Сергіївської сільської ради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здійснення внесків до 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статутн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капітал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</w:t>
      </w:r>
      <w:r w:rsid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0DD6" w:rsidRPr="00910BE2" w:rsidRDefault="00DD3343" w:rsidP="0091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Фінансова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підтримка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2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спеціалізованого </w:t>
      </w:r>
      <w:r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надається на підставі статей 71, 91 Бюджетного кодексу України, статей 60, 64 Закону України «Про місцеве самоврядування в Україні», статті 143 КонституціїУкраїни.</w:t>
      </w:r>
    </w:p>
    <w:p w:rsidR="00910DD6" w:rsidRPr="00910BE2" w:rsidRDefault="00DD3343" w:rsidP="0091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Фінансова підтримка надається </w:t>
      </w:r>
      <w:r w:rsidR="00D52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спеціалізованому 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забезпечення належної реалізації 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статутн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посилення фінансово-бюджетної дисципліни,</w:t>
      </w:r>
      <w:r w:rsidR="003707D3" w:rsidRPr="003707D3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необхідних умов для утримання, збереження та  раціонального використання переданих йому у постійне користування земельних ділянок під полезахисними лісовими смугами, які обмежують масив земель сільськогосподарського призначення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створення сприятливих умов для життєдіяльності населення 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Сергіївської ОТГ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сприяння поліпшенню фінансово-господарської діяльності зазначен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затверджен</w:t>
      </w:r>
      <w:r w:rsidR="00910DD6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сільською радою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програм.</w:t>
      </w:r>
    </w:p>
    <w:p w:rsidR="00910DD6" w:rsidRPr="00910BE2" w:rsidRDefault="00910DD6" w:rsidP="0091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Фінансова підтримка </w:t>
      </w:r>
      <w:r w:rsidR="003707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спеціалізованого </w:t>
      </w:r>
      <w:r w:rsidR="003707D3" w:rsidRPr="003707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комунальн</w:t>
      </w:r>
      <w:r w:rsidR="003707D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ого </w:t>
      </w:r>
      <w:r w:rsidR="003707D3" w:rsidRPr="003707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підприємств</w:t>
      </w:r>
      <w:r w:rsidR="003707D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здійснюється засновником за рахунок коштів с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в обсягах, передбачених рішенням 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про с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 на відповідний рік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 цією </w:t>
      </w:r>
      <w:r w:rsidR="00DD3343" w:rsidRPr="003707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Програмою, в межах надходжень до с</w:t>
      </w:r>
      <w:r w:rsidR="003707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ільського </w:t>
      </w:r>
      <w:r w:rsidR="00DD3343" w:rsidRPr="003707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бюджету.</w:t>
      </w:r>
    </w:p>
    <w:p w:rsidR="00DD3343" w:rsidRPr="009D20A4" w:rsidRDefault="00910DD6" w:rsidP="0091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Фінансова підтримка с</w:t>
      </w:r>
      <w:r w:rsidR="005B7528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(бюджету розвитку), що надається як внесок до статутного капіталу </w:t>
      </w:r>
      <w:r w:rsidR="003707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спеціалізованого </w:t>
      </w:r>
      <w:r w:rsidR="003707D3" w:rsidRPr="003707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комунальн</w:t>
      </w:r>
      <w:r w:rsidR="003707D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ого </w:t>
      </w:r>
      <w:r w:rsidR="003707D3" w:rsidRPr="003707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підприємств</w:t>
      </w:r>
      <w:r w:rsidR="003707D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використовується шляхом зарахування коштів на розрахунковий рахунок підприємства, відкритий в установі банку.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цих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рахунках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здійснюються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виключно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господарські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операції за коштами,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отриманими як фінансова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підтримка за рахунок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коштів с</w:t>
      </w:r>
      <w:r w:rsidR="00952BC8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ільського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виглядів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несків до статутного капіталу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07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спеціалізованого </w:t>
      </w:r>
      <w:r w:rsidR="003707D3" w:rsidRPr="009D20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комунальн</w:t>
      </w:r>
      <w:r w:rsidR="003707D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ого</w:t>
      </w:r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707D3" w:rsidRPr="009D20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підприємств</w:t>
      </w:r>
      <w:r w:rsidR="003707D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3343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07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Спеціалізоване</w:t>
      </w:r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707D3" w:rsidRPr="003707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комунальн</w:t>
      </w:r>
      <w:r w:rsidR="003707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е</w:t>
      </w:r>
      <w:r w:rsidR="003707D3" w:rsidRPr="003707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підприємств</w:t>
      </w:r>
      <w:r w:rsidR="003707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потребує отримання фінансової підтримки, оформлює клопотання на головного розпорядника коштів с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ільського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з обґрунтуваннями та відповідними розрахунками.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Закупівля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автомобільного транспорту, спец</w:t>
      </w:r>
      <w:r w:rsid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ех</w:t>
      </w:r>
      <w:r w:rsid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ки, необхідного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устаткування, обладнання, товарів, робіт, послуг та проведення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платежів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07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спеціалізованого </w:t>
      </w:r>
      <w:r w:rsidR="003707D3" w:rsidRPr="009D20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комунальн</w:t>
      </w:r>
      <w:r w:rsidR="003707D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ого</w:t>
      </w:r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707D3" w:rsidRPr="009D20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підприємств</w:t>
      </w:r>
      <w:r w:rsidR="003707D3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здійснюється у визначеному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законодавством порядку.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Фінансова підтримка може виділятися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покриття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витрат комунальних підприємств, які виникають в процесі господарської діяльності, напрямок якої відповідає меті і завданням цієї Програми та напрямкам діяльності </w:t>
      </w:r>
      <w:r w:rsidR="00C80D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спеціалізованого </w:t>
      </w:r>
      <w:r w:rsidR="00C80D08" w:rsidRPr="00C80D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комунальн</w:t>
      </w:r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ого </w:t>
      </w:r>
      <w:r w:rsidR="00C80D08" w:rsidRPr="00C80D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підприємств</w:t>
      </w:r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зазначені у статуті, у випадку якщо такі витрати не покриваються доходами підприємства.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</w:t>
      </w:r>
      <w:proofErr w:type="spellStart"/>
      <w:proofErr w:type="gram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ідлягають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забезпеченню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ільського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0D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спеціалізованого </w:t>
      </w:r>
      <w:proofErr w:type="spellStart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комунальн</w:t>
      </w:r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ого</w:t>
      </w:r>
      <w:proofErr w:type="spellEnd"/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підприємств</w:t>
      </w:r>
      <w:proofErr w:type="spellEnd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відрахування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профспілковим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масової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фізкультурної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надання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спонсорської і благодійної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343" w:rsidRPr="009D2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допомоги;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 інші непродуктивні витрати, які безпосередньо не пов’язані із основним напрямком діяльності підприємства, який передбачений Статутом підприємства та відповідає меті і завданням Програми.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Критеріями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отримувача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ідтримки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обґрунтування доцільності надання та розміру фінансової підтримки, у тому числі із фінансово-економічним розрахунком, поданого отримувачем фінансової підтримки;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фінансового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r w:rsidR="00C80D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спеціалізованого </w:t>
      </w:r>
      <w:proofErr w:type="spellStart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комунальн</w:t>
      </w:r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ого</w:t>
      </w:r>
      <w:proofErr w:type="spellEnd"/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ідприємств</w:t>
      </w:r>
      <w:proofErr w:type="spellEnd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поточний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7528" w:rsidRPr="00910BE2" w:rsidRDefault="005B7528" w:rsidP="005B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затверджених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0D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спеціалізованого </w:t>
      </w:r>
      <w:proofErr w:type="spellStart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комунальн</w:t>
      </w:r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ого</w:t>
      </w:r>
      <w:proofErr w:type="spellEnd"/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ідприємств</w:t>
      </w:r>
      <w:proofErr w:type="spellEnd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виконавчим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комітетом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тарифів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0BE" w:rsidRPr="00910BE2" w:rsidRDefault="00DD3343" w:rsidP="00D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10. Контроль за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цільовим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отриманих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40BE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0D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спеціалізованого </w:t>
      </w:r>
      <w:proofErr w:type="spellStart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комунальн</w:t>
      </w:r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ого</w:t>
      </w:r>
      <w:proofErr w:type="spellEnd"/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ідприємств</w:t>
      </w:r>
      <w:proofErr w:type="spellEnd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напрямки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одержаної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ідтримки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40BE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щокварталу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звітує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пленарних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засіданнях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потребою головного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розпорядника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Щомісяця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числа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місяця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настає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звітним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ідприємство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головному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розпоряднику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spellStart"/>
      <w:r w:rsidR="00DA40BE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ільського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фінансові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звіти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пояснювальною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запискою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0BE" w:rsidRPr="00910BE2" w:rsidRDefault="00DD3343" w:rsidP="00D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11. Використання коштів з іншою метою, яка не відповідає цьому Порядку, є нецільовим використанням бюджетних коштів, що тягне за собою відповідальність згідно з чинним законодавством України.</w:t>
      </w:r>
    </w:p>
    <w:p w:rsidR="00DA40BE" w:rsidRPr="00910BE2" w:rsidRDefault="00DD3343" w:rsidP="00D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Відповідно до ст. 8 Закону України «Про бухгалтерський облік та фінансову звітність України» </w:t>
      </w:r>
      <w:r w:rsidR="00DA40BE"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0D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спеціалізованого </w:t>
      </w:r>
      <w:proofErr w:type="spellStart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комунальн</w:t>
      </w:r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ого</w:t>
      </w:r>
      <w:proofErr w:type="spellEnd"/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підприємств</w:t>
      </w:r>
      <w:proofErr w:type="spellEnd"/>
      <w:r w:rsidR="00C80D08" w:rsidRPr="00910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906A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документів, регістрів і звітності.</w:t>
      </w:r>
    </w:p>
    <w:p w:rsidR="00DD3343" w:rsidRPr="00910BE2" w:rsidRDefault="00DA40BE" w:rsidP="00D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13.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Складення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бюджетної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звітності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20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установленному</w:t>
      </w:r>
      <w:r w:rsidR="0090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="00DD3343"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DA40BE" w:rsidRPr="00910BE2" w:rsidRDefault="00DA40BE" w:rsidP="00DD334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40BE" w:rsidRPr="00910BE2" w:rsidRDefault="00DD3343" w:rsidP="00DA40BE">
      <w:pPr>
        <w:jc w:val="both"/>
        <w:rPr>
          <w:rFonts w:ascii="Times New Roman" w:hAnsi="Times New Roman" w:cs="Times New Roman"/>
          <w:sz w:val="28"/>
          <w:szCs w:val="28"/>
        </w:rPr>
      </w:pPr>
      <w:r w:rsidRPr="0091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DA40BE" w:rsidRPr="00910BE2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="00906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40BE" w:rsidRPr="00910BE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906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0BE" w:rsidRPr="00910BE2">
        <w:rPr>
          <w:rFonts w:ascii="Times New Roman" w:hAnsi="Times New Roman" w:cs="Times New Roman"/>
          <w:sz w:val="28"/>
          <w:szCs w:val="28"/>
        </w:rPr>
        <w:t>ради                                                              Н.</w:t>
      </w:r>
      <w:r w:rsidR="00906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0BE" w:rsidRPr="00910BE2">
        <w:rPr>
          <w:rFonts w:ascii="Times New Roman" w:hAnsi="Times New Roman" w:cs="Times New Roman"/>
          <w:sz w:val="28"/>
          <w:szCs w:val="28"/>
        </w:rPr>
        <w:t>В. Ілляшенко</w:t>
      </w:r>
    </w:p>
    <w:p w:rsidR="00DD3343" w:rsidRPr="008B0761" w:rsidRDefault="00DD3343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3343" w:rsidRPr="008B0761" w:rsidRDefault="00DD3343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3343" w:rsidRPr="008B0761" w:rsidRDefault="00DD3343" w:rsidP="00DD33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3343" w:rsidRPr="008B0761" w:rsidRDefault="00DD3343" w:rsidP="00DD334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DD3343" w:rsidRPr="008B0761" w:rsidSect="00D0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B7C"/>
    <w:multiLevelType w:val="multilevel"/>
    <w:tmpl w:val="EB34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03"/>
    <w:rsid w:val="00051CB6"/>
    <w:rsid w:val="00103869"/>
    <w:rsid w:val="00202483"/>
    <w:rsid w:val="00216254"/>
    <w:rsid w:val="0033075C"/>
    <w:rsid w:val="0034174A"/>
    <w:rsid w:val="003707D3"/>
    <w:rsid w:val="003B74CA"/>
    <w:rsid w:val="003C6399"/>
    <w:rsid w:val="00480BD8"/>
    <w:rsid w:val="00525483"/>
    <w:rsid w:val="00570DD2"/>
    <w:rsid w:val="00591061"/>
    <w:rsid w:val="005B7528"/>
    <w:rsid w:val="005B7C9A"/>
    <w:rsid w:val="00657E69"/>
    <w:rsid w:val="00721472"/>
    <w:rsid w:val="007F3A03"/>
    <w:rsid w:val="00833A2B"/>
    <w:rsid w:val="008B0761"/>
    <w:rsid w:val="008D39CB"/>
    <w:rsid w:val="00906A17"/>
    <w:rsid w:val="00910BE2"/>
    <w:rsid w:val="00910DD6"/>
    <w:rsid w:val="00952BC8"/>
    <w:rsid w:val="00953F62"/>
    <w:rsid w:val="0095735A"/>
    <w:rsid w:val="009D20A4"/>
    <w:rsid w:val="009E30DC"/>
    <w:rsid w:val="00AA2891"/>
    <w:rsid w:val="00AC4E89"/>
    <w:rsid w:val="00AF1EDE"/>
    <w:rsid w:val="00B96266"/>
    <w:rsid w:val="00BF43EF"/>
    <w:rsid w:val="00C80D08"/>
    <w:rsid w:val="00C861C9"/>
    <w:rsid w:val="00D02E96"/>
    <w:rsid w:val="00D40499"/>
    <w:rsid w:val="00D52E56"/>
    <w:rsid w:val="00DA40BE"/>
    <w:rsid w:val="00DB5ABB"/>
    <w:rsid w:val="00DD3343"/>
    <w:rsid w:val="00E37D03"/>
    <w:rsid w:val="00E927FD"/>
    <w:rsid w:val="00EB4968"/>
    <w:rsid w:val="00EB6ED8"/>
    <w:rsid w:val="00EE22E0"/>
    <w:rsid w:val="00EF3393"/>
    <w:rsid w:val="00F159BE"/>
    <w:rsid w:val="00FA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3"/>
    <w:rPr>
      <w:rFonts w:ascii="Tahoma" w:hAnsi="Tahoma" w:cs="Tahoma"/>
      <w:sz w:val="16"/>
      <w:szCs w:val="16"/>
    </w:rPr>
  </w:style>
  <w:style w:type="character" w:customStyle="1" w:styleId="rvts23">
    <w:name w:val="rvts23"/>
    <w:rsid w:val="00E37D03"/>
  </w:style>
  <w:style w:type="character" w:customStyle="1" w:styleId="2">
    <w:name w:val="Основной текст (2)_"/>
    <w:link w:val="20"/>
    <w:rsid w:val="00EB6ED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6ED8"/>
    <w:pPr>
      <w:widowControl w:val="0"/>
      <w:shd w:val="clear" w:color="auto" w:fill="FFFFFF"/>
      <w:spacing w:before="240" w:after="240" w:line="0" w:lineRule="atLeast"/>
    </w:pPr>
    <w:rPr>
      <w:b/>
      <w:bCs/>
    </w:rPr>
  </w:style>
  <w:style w:type="character" w:styleId="a5">
    <w:name w:val="Hyperlink"/>
    <w:basedOn w:val="a0"/>
    <w:uiPriority w:val="99"/>
    <w:unhideWhenUsed/>
    <w:rsid w:val="00570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3"/>
    <w:rPr>
      <w:rFonts w:ascii="Tahoma" w:hAnsi="Tahoma" w:cs="Tahoma"/>
      <w:sz w:val="16"/>
      <w:szCs w:val="16"/>
    </w:rPr>
  </w:style>
  <w:style w:type="character" w:customStyle="1" w:styleId="rvts23">
    <w:name w:val="rvts23"/>
    <w:rsid w:val="00E37D03"/>
  </w:style>
  <w:style w:type="character" w:customStyle="1" w:styleId="2">
    <w:name w:val="Основной текст (2)_"/>
    <w:link w:val="20"/>
    <w:rsid w:val="00EB6ED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6ED8"/>
    <w:pPr>
      <w:widowControl w:val="0"/>
      <w:shd w:val="clear" w:color="auto" w:fill="FFFFFF"/>
      <w:spacing w:before="240" w:after="240" w:line="0" w:lineRule="atLeast"/>
    </w:pPr>
    <w:rPr>
      <w:b/>
      <w:bCs/>
    </w:rPr>
  </w:style>
  <w:style w:type="character" w:styleId="a5">
    <w:name w:val="Hyperlink"/>
    <w:basedOn w:val="a0"/>
    <w:uiPriority w:val="99"/>
    <w:unhideWhenUsed/>
    <w:rsid w:val="00570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866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68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</w:div>
                        <w:div w:id="16606954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4388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0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</w:divsChild>
                    </w:div>
                    <w:div w:id="122409872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03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74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2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7749</Words>
  <Characters>4418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S.</cp:lastModifiedBy>
  <cp:revision>2</cp:revision>
  <dcterms:created xsi:type="dcterms:W3CDTF">2020-03-05T20:13:00Z</dcterms:created>
  <dcterms:modified xsi:type="dcterms:W3CDTF">2020-03-05T20:13:00Z</dcterms:modified>
</cp:coreProperties>
</file>